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86C7" w14:textId="77777777" w:rsidR="004659BE" w:rsidRPr="00371C9A" w:rsidRDefault="004659BE" w:rsidP="004659BE">
      <w:pPr>
        <w:ind w:right="-755"/>
        <w:jc w:val="center"/>
        <w:rPr>
          <w:rFonts w:ascii="Book Antiqua" w:hAnsi="Book Antiqua"/>
          <w:sz w:val="20"/>
          <w:szCs w:val="20"/>
        </w:rPr>
      </w:pPr>
    </w:p>
    <w:p w14:paraId="21F7F1F4" w14:textId="77777777" w:rsidR="004659BE" w:rsidRPr="00371C9A" w:rsidRDefault="004659BE" w:rsidP="004659BE">
      <w:pPr>
        <w:ind w:right="-755"/>
        <w:jc w:val="center"/>
        <w:rPr>
          <w:rFonts w:ascii="Book Antiqua" w:hAnsi="Book Antiqua"/>
          <w:sz w:val="20"/>
          <w:szCs w:val="20"/>
        </w:rPr>
      </w:pPr>
    </w:p>
    <w:p w14:paraId="793B0DB0" w14:textId="64F83AE3" w:rsidR="004659BE" w:rsidRPr="00CA56AB" w:rsidRDefault="004659BE" w:rsidP="004659BE">
      <w:pPr>
        <w:ind w:right="-755"/>
        <w:jc w:val="center"/>
        <w:rPr>
          <w:rFonts w:ascii="Book Antiqua" w:hAnsi="Book Antiqua"/>
          <w:sz w:val="52"/>
          <w:szCs w:val="52"/>
        </w:rPr>
      </w:pPr>
      <w:r w:rsidRPr="00CA56AB">
        <w:rPr>
          <w:rFonts w:ascii="Book Antiqua" w:hAnsi="Book Antiqua"/>
          <w:sz w:val="52"/>
          <w:szCs w:val="52"/>
        </w:rPr>
        <w:t>INNOKAIZ INDIA LIMITED</w:t>
      </w:r>
    </w:p>
    <w:p w14:paraId="557227D4" w14:textId="4CDB1AD7" w:rsidR="00CA56AB" w:rsidRPr="00371C9A" w:rsidRDefault="00CA56AB" w:rsidP="004659BE">
      <w:pPr>
        <w:ind w:right="-755"/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44"/>
          <w:szCs w:val="44"/>
        </w:rPr>
        <w:t xml:space="preserve">CIN: </w:t>
      </w:r>
      <w:r w:rsidRPr="00CA56AB">
        <w:rPr>
          <w:rFonts w:ascii="Book Antiqua" w:hAnsi="Book Antiqua"/>
          <w:sz w:val="44"/>
          <w:szCs w:val="44"/>
        </w:rPr>
        <w:t>U74900TN2013PLC089349</w:t>
      </w:r>
    </w:p>
    <w:p w14:paraId="4A293C2D" w14:textId="77777777" w:rsidR="004659BE" w:rsidRPr="00371C9A" w:rsidRDefault="004659BE">
      <w:pPr>
        <w:ind w:right="-755"/>
        <w:rPr>
          <w:rFonts w:ascii="Book Antiqua" w:hAnsi="Book Antiqua"/>
          <w:sz w:val="44"/>
          <w:szCs w:val="44"/>
        </w:rPr>
      </w:pPr>
    </w:p>
    <w:p w14:paraId="0F7B7A38" w14:textId="77777777" w:rsidR="004659BE" w:rsidRPr="00371C9A" w:rsidRDefault="004659BE">
      <w:pPr>
        <w:ind w:right="-755"/>
        <w:rPr>
          <w:rFonts w:ascii="Book Antiqua" w:hAnsi="Book Antiqua"/>
          <w:sz w:val="44"/>
          <w:szCs w:val="44"/>
        </w:rPr>
      </w:pPr>
    </w:p>
    <w:p w14:paraId="22EA6595" w14:textId="16FB1E7A" w:rsidR="004659BE" w:rsidRPr="00371C9A" w:rsidRDefault="00042586" w:rsidP="004659BE">
      <w:pPr>
        <w:ind w:right="-755"/>
        <w:jc w:val="center"/>
        <w:rPr>
          <w:rFonts w:ascii="Book Antiqua" w:hAnsi="Book Antiqua"/>
          <w:sz w:val="44"/>
          <w:szCs w:val="44"/>
        </w:rPr>
      </w:pPr>
      <w:r w:rsidRPr="00042586">
        <w:rPr>
          <w:rFonts w:ascii="Book Antiqua" w:hAnsi="Book Antiqua"/>
          <w:sz w:val="44"/>
          <w:szCs w:val="44"/>
        </w:rPr>
        <w:t>POLICY ON BOARD DIVERSITY AND EVALUATION OF THE PERFORMANCE OF THE BOARD OF DIRECTORS</w:t>
      </w:r>
    </w:p>
    <w:p w14:paraId="3001627F" w14:textId="77777777" w:rsidR="004659BE" w:rsidRPr="00371C9A" w:rsidRDefault="004659BE">
      <w:pPr>
        <w:ind w:right="-755"/>
        <w:rPr>
          <w:rFonts w:ascii="Book Antiqua" w:hAnsi="Book Antiqua"/>
          <w:sz w:val="44"/>
          <w:szCs w:val="44"/>
        </w:rPr>
      </w:pPr>
      <w:r w:rsidRPr="00371C9A">
        <w:rPr>
          <w:rFonts w:ascii="Book Antiqua" w:hAnsi="Book Antiqua"/>
          <w:sz w:val="44"/>
          <w:szCs w:val="44"/>
        </w:rPr>
        <w:br w:type="page"/>
      </w:r>
    </w:p>
    <w:p w14:paraId="7E659DB3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lastRenderedPageBreak/>
        <w:t>PREFACE</w:t>
      </w:r>
    </w:p>
    <w:p w14:paraId="4A685E0D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37290A1A" w14:textId="086F72CC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Board of Directors (“Board”) of INNOKAIZ INDIA LIMITED (“Company”) has decided to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consider and formulate a policy on diversity of the composition of the Board by the name of Policy on Board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Diversity (“Policy”). The Policy sets out the approach to have a diversity on the Board of the Company in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terms of thought, experience, knowledge, perspective, gender, race, ethnicity or cultural background in the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Board, in compliance with the applicable laws, rules and regulations applicable to the Company.</w:t>
      </w:r>
    </w:p>
    <w:p w14:paraId="5AF79CD6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3C754650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PURPOSE</w:t>
      </w:r>
    </w:p>
    <w:p w14:paraId="5A534479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</w:p>
    <w:p w14:paraId="5828E9B6" w14:textId="2BE2818D" w:rsidR="00343DA3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This policy is largely framed to address the importance of a diverse Board in harnessing the unique and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individual skills and experiences of the members in a way that collectively benefits the organization and the</w:t>
      </w:r>
      <w:r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042586">
        <w:rPr>
          <w:rFonts w:ascii="Book Antiqua" w:hAnsi="Book Antiqua"/>
          <w:sz w:val="20"/>
          <w:szCs w:val="20"/>
        </w:rPr>
        <w:t>business as a whole</w:t>
      </w:r>
      <w:proofErr w:type="gramEnd"/>
      <w:r w:rsidRPr="00042586">
        <w:rPr>
          <w:rFonts w:ascii="Book Antiqua" w:hAnsi="Book Antiqua"/>
          <w:sz w:val="20"/>
          <w:szCs w:val="20"/>
        </w:rPr>
        <w:t>. The basic essence of the Policy is to provide a framework for leveraging on the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differences within the expertise of the Board, offering a broad range of perspectives that are directly relevant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to the business.</w:t>
      </w:r>
    </w:p>
    <w:p w14:paraId="6E0897A1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69CC844C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INTERPRETATION</w:t>
      </w:r>
    </w:p>
    <w:p w14:paraId="594B7031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</w:p>
    <w:p w14:paraId="5E363749" w14:textId="34EEBD29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Any words used in this policy but not defined herein shall have the same meaning ascribed to it in the Articles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of Association of the Company and /or the Companies Act, 2013 or Rules made there under. In case of any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dispute or difference upon the meaning/interpretation of any word or provision in this Policy, the same shall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be referred to the Committee and the decision of the Committee in such a case shall be final.</w:t>
      </w:r>
    </w:p>
    <w:p w14:paraId="12DC15B8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71B8A1D7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POLICY</w:t>
      </w:r>
    </w:p>
    <w:p w14:paraId="2D58A6BC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</w:p>
    <w:p w14:paraId="5325BB9A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Company believes that a diverse Board will–</w:t>
      </w:r>
    </w:p>
    <w:p w14:paraId="699ADE95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(a) Enhance the quality of decision making and ensure better business performance.</w:t>
      </w:r>
    </w:p>
    <w:p w14:paraId="7559D996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(b) Encourage diversity of perspectives thereby fuelling creativity and innovation.</w:t>
      </w:r>
    </w:p>
    <w:p w14:paraId="12FD3912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(c) Complement and expand the skills, knowledge and experience of the Board as a whole.</w:t>
      </w:r>
    </w:p>
    <w:p w14:paraId="6951FC1D" w14:textId="17831878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(d) Provide for better Corporate Governance.</w:t>
      </w:r>
    </w:p>
    <w:p w14:paraId="735F5E6A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5DE66662" w14:textId="6F46C4B1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 xml:space="preserve">A diverse Board will include and make good use of the differences in the skills, knowledge, industry experience, background, gender, race, ethnicity, cultural background and other qualities of the individual </w:t>
      </w:r>
      <w:proofErr w:type="gramStart"/>
      <w:r w:rsidRPr="00042586">
        <w:rPr>
          <w:rFonts w:ascii="Book Antiqua" w:hAnsi="Book Antiqua"/>
          <w:sz w:val="20"/>
          <w:szCs w:val="20"/>
        </w:rPr>
        <w:t>members as a whole</w:t>
      </w:r>
      <w:proofErr w:type="gramEnd"/>
      <w:r w:rsidRPr="00042586">
        <w:rPr>
          <w:rFonts w:ascii="Book Antiqua" w:hAnsi="Book Antiqua"/>
          <w:sz w:val="20"/>
          <w:szCs w:val="20"/>
        </w:rPr>
        <w:t xml:space="preserve">. All Board appointments will be done on merit, in the context of skills as required for the areas of our business operations, management </w:t>
      </w:r>
      <w:proofErr w:type="gramStart"/>
      <w:r w:rsidRPr="00042586">
        <w:rPr>
          <w:rFonts w:ascii="Book Antiqua" w:hAnsi="Book Antiqua"/>
          <w:sz w:val="20"/>
          <w:szCs w:val="20"/>
        </w:rPr>
        <w:t>and also</w:t>
      </w:r>
      <w:proofErr w:type="gramEnd"/>
      <w:r w:rsidRPr="00042586">
        <w:rPr>
          <w:rFonts w:ascii="Book Antiqua" w:hAnsi="Book Antiqua"/>
          <w:sz w:val="20"/>
          <w:szCs w:val="20"/>
        </w:rPr>
        <w:t xml:space="preserve"> expertise in the fields of regulatory, legal,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business development, human capital management, strategic planning, marketing and general administration.</w:t>
      </w:r>
    </w:p>
    <w:p w14:paraId="688B329B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11CE828A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NOMINATION AND APPOINTMENT</w:t>
      </w:r>
    </w:p>
    <w:p w14:paraId="4282F571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</w:p>
    <w:p w14:paraId="3A72A460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Nomination and Remuneration Committee (‘Committee’) of the Board shall:</w:t>
      </w:r>
    </w:p>
    <w:p w14:paraId="5B18D236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(a) Review and assess the composition of the Board.</w:t>
      </w:r>
    </w:p>
    <w:p w14:paraId="62454B90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(b) Identify appropriate qualified personnel to occupy Board position.</w:t>
      </w:r>
    </w:p>
    <w:p w14:paraId="1770CD60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(c) Suggest appropriate expertise and diversity requirements.</w:t>
      </w:r>
    </w:p>
    <w:p w14:paraId="5D838B3A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(d) Manage the process of recruiting new members to the Board and defining requisite skills.</w:t>
      </w:r>
    </w:p>
    <w:p w14:paraId="1A81287C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(e) Ensure that selection process is formal and thorough and non-discriminatory.</w:t>
      </w:r>
    </w:p>
    <w:p w14:paraId="67FACC8D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(f) Review and report any changes in relation to the diversity of the Board.</w:t>
      </w:r>
    </w:p>
    <w:p w14:paraId="149793AA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7EAC8C2C" w14:textId="1A015FE2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Committee shall also review the Board composition in terms of the size of the Board, the composition of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executive and non-executive directors and the composition of independent directors, each of which shall be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in accordance with the requirements of the Articles of Association of the Company, the Companies Act, 2013,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the Listing Agreements and other statutory/regulatory requirements.</w:t>
      </w:r>
    </w:p>
    <w:p w14:paraId="36E0BFE0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08E2C58D" w14:textId="77777777" w:rsidR="00042586" w:rsidRDefault="0004258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5BF73ABE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6343BF41" w14:textId="7EC162C6" w:rsid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MONITORING, TRACKING AND REPORTING</w:t>
      </w:r>
    </w:p>
    <w:p w14:paraId="1D53B810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</w:p>
    <w:p w14:paraId="4F515E47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Committee shall support laying down a succession plan and drive the understanding of talent across the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organization and support development program for the Board. As part of the exercise, it will also plan for the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evolution of non-executive directors over the medium term to maintain appropriate mix of skills, age and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 xml:space="preserve">diversity </w:t>
      </w:r>
      <w:proofErr w:type="gramStart"/>
      <w:r w:rsidRPr="00042586">
        <w:rPr>
          <w:rFonts w:ascii="Book Antiqua" w:hAnsi="Book Antiqua"/>
          <w:sz w:val="20"/>
          <w:szCs w:val="20"/>
        </w:rPr>
        <w:t>on the basis of</w:t>
      </w:r>
      <w:proofErr w:type="gramEnd"/>
      <w:r w:rsidRPr="00042586">
        <w:rPr>
          <w:rFonts w:ascii="Book Antiqua" w:hAnsi="Book Antiqua"/>
          <w:sz w:val="20"/>
          <w:szCs w:val="20"/>
        </w:rPr>
        <w:t xml:space="preserve"> gender, race, ethnicity, country of origin and cultural background.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6CAC36B1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601F6A40" w14:textId="7F9AB204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Company shall make necessary disclosures about the policy as per the requirements of the Listing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Agreement and the Companies Act, 2013. The policy shall be made available on the website of the Company.</w:t>
      </w:r>
    </w:p>
    <w:p w14:paraId="13D0E484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6F1BBEBE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AMENDMENTS AND UPDATIONS</w:t>
      </w:r>
    </w:p>
    <w:p w14:paraId="2CA5FE7E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16716082" w14:textId="31628C1D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Committee shall review this Policy and recommend revisions to the Board for consideration and approval</w:t>
      </w:r>
    </w:p>
    <w:p w14:paraId="2B5DA251" w14:textId="16901AD8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as and when required.</w:t>
      </w:r>
    </w:p>
    <w:p w14:paraId="4423056E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</w:p>
    <w:p w14:paraId="2E373CF3" w14:textId="77777777" w:rsid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  <w:r w:rsidRPr="00042586">
        <w:rPr>
          <w:rFonts w:ascii="Book Antiqua" w:hAnsi="Book Antiqua"/>
          <w:b/>
          <w:bCs/>
          <w:sz w:val="20"/>
          <w:szCs w:val="20"/>
        </w:rPr>
        <w:t>DISSEMINATION OF THE POLICY</w:t>
      </w:r>
    </w:p>
    <w:p w14:paraId="31460258" w14:textId="77777777" w:rsidR="00042586" w:rsidRPr="00042586" w:rsidRDefault="00042586" w:rsidP="00042586">
      <w:pPr>
        <w:spacing w:after="0"/>
        <w:ind w:right="-755"/>
        <w:jc w:val="both"/>
        <w:rPr>
          <w:rFonts w:ascii="Book Antiqua" w:hAnsi="Book Antiqua"/>
          <w:b/>
          <w:bCs/>
          <w:sz w:val="20"/>
          <w:szCs w:val="20"/>
        </w:rPr>
      </w:pPr>
    </w:p>
    <w:p w14:paraId="627F30B7" w14:textId="79058EF2" w:rsidR="00042586" w:rsidRPr="00371C9A" w:rsidRDefault="00042586" w:rsidP="00042586">
      <w:pPr>
        <w:spacing w:after="0"/>
        <w:ind w:right="-755"/>
        <w:jc w:val="both"/>
        <w:rPr>
          <w:rFonts w:ascii="Book Antiqua" w:hAnsi="Book Antiqua"/>
          <w:sz w:val="20"/>
          <w:szCs w:val="20"/>
        </w:rPr>
      </w:pPr>
      <w:r w:rsidRPr="00042586">
        <w:rPr>
          <w:rFonts w:ascii="Book Antiqua" w:hAnsi="Book Antiqua"/>
          <w:sz w:val="20"/>
          <w:szCs w:val="20"/>
        </w:rPr>
        <w:t>The policy shall be hosted on the website of the Company i.e. https://innokaiz.com/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 xml:space="preserve">Company reserves </w:t>
      </w:r>
      <w:proofErr w:type="gramStart"/>
      <w:r w:rsidRPr="00042586">
        <w:rPr>
          <w:rFonts w:ascii="Book Antiqua" w:hAnsi="Book Antiqua"/>
          <w:sz w:val="20"/>
          <w:szCs w:val="20"/>
        </w:rPr>
        <w:t>its</w:t>
      </w:r>
      <w:proofErr w:type="gramEnd"/>
      <w:r w:rsidRPr="00042586">
        <w:rPr>
          <w:rFonts w:ascii="Book Antiqua" w:hAnsi="Book Antiqua"/>
          <w:sz w:val="20"/>
          <w:szCs w:val="20"/>
        </w:rPr>
        <w:t xml:space="preserve"> right to amend or modify this Policy in whole or in part, at any time without assigning</w:t>
      </w:r>
      <w:r>
        <w:rPr>
          <w:rFonts w:ascii="Book Antiqua" w:hAnsi="Book Antiqua"/>
          <w:sz w:val="20"/>
          <w:szCs w:val="20"/>
        </w:rPr>
        <w:t xml:space="preserve"> </w:t>
      </w:r>
      <w:r w:rsidRPr="00042586">
        <w:rPr>
          <w:rFonts w:ascii="Book Antiqua" w:hAnsi="Book Antiqua"/>
          <w:sz w:val="20"/>
          <w:szCs w:val="20"/>
        </w:rPr>
        <w:t>any reason whatsoever.</w:t>
      </w:r>
    </w:p>
    <w:sectPr w:rsidR="00042586" w:rsidRPr="00371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E7C"/>
    <w:multiLevelType w:val="hybridMultilevel"/>
    <w:tmpl w:val="415E39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371"/>
    <w:multiLevelType w:val="hybridMultilevel"/>
    <w:tmpl w:val="11AAE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C0BB2"/>
    <w:multiLevelType w:val="hybridMultilevel"/>
    <w:tmpl w:val="C11C00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13939"/>
    <w:multiLevelType w:val="hybridMultilevel"/>
    <w:tmpl w:val="1B3058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81041">
    <w:abstractNumId w:val="3"/>
  </w:num>
  <w:num w:numId="2" w16cid:durableId="2112970457">
    <w:abstractNumId w:val="0"/>
  </w:num>
  <w:num w:numId="3" w16cid:durableId="972977263">
    <w:abstractNumId w:val="1"/>
  </w:num>
  <w:num w:numId="4" w16cid:durableId="146901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D"/>
    <w:rsid w:val="00042586"/>
    <w:rsid w:val="000C7B8A"/>
    <w:rsid w:val="001669ED"/>
    <w:rsid w:val="002355C1"/>
    <w:rsid w:val="00343DA3"/>
    <w:rsid w:val="00371C9A"/>
    <w:rsid w:val="004659BE"/>
    <w:rsid w:val="004700DD"/>
    <w:rsid w:val="0049155F"/>
    <w:rsid w:val="0051709A"/>
    <w:rsid w:val="00CA56AB"/>
    <w:rsid w:val="00DF7DFC"/>
    <w:rsid w:val="00E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40FD"/>
  <w15:chartTrackingRefBased/>
  <w15:docId w15:val="{9860441F-96BA-413A-8549-4F3D47FD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D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 Singapore</dc:creator>
  <cp:keywords/>
  <dc:description/>
  <cp:lastModifiedBy>JSG Singapore</cp:lastModifiedBy>
  <cp:revision>4</cp:revision>
  <dcterms:created xsi:type="dcterms:W3CDTF">2026-01-28T13:47:00Z</dcterms:created>
  <dcterms:modified xsi:type="dcterms:W3CDTF">2026-01-28T14:58:00Z</dcterms:modified>
</cp:coreProperties>
</file>